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E57B" w14:textId="77777777" w:rsidR="009A39AD" w:rsidRPr="00B61492" w:rsidRDefault="009A39AD" w:rsidP="009A39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B61492">
        <w:rPr>
          <w:rFonts w:ascii="Times New Roman" w:hAnsi="Times New Roman" w:cs="Times New Roman"/>
          <w:i/>
        </w:rPr>
        <w:t xml:space="preserve">Załącznik nr 5 do Procedury przeprowadzania naborów, wyboru oraz realizacji grantów w ramach Strategii Rozwoju Lokalnego kierowanego przez społeczność na lata 2014-2022 </w:t>
      </w:r>
    </w:p>
    <w:p w14:paraId="5A7E9BEA" w14:textId="77777777" w:rsidR="009A39AD" w:rsidRPr="00B61492" w:rsidRDefault="009A39AD" w:rsidP="009A39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9A39AD" w:rsidRPr="00B61492" w14:paraId="4413C0E6" w14:textId="77777777" w:rsidTr="0059738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303FFE" w14:textId="5EBA7105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 xml:space="preserve">Karta oceny operacji grantowych w ramach konkursu nr </w:t>
            </w:r>
            <w:r>
              <w:rPr>
                <w:rFonts w:ascii="Times New Roman" w:hAnsi="Times New Roman" w:cs="Times New Roman"/>
                <w:b/>
              </w:rPr>
              <w:t>10/2022/G</w:t>
            </w:r>
          </w:p>
        </w:tc>
      </w:tr>
      <w:tr w:rsidR="009A39AD" w:rsidRPr="00B61492" w14:paraId="741ED41D" w14:textId="77777777" w:rsidTr="0059738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184A" w14:textId="77777777" w:rsidR="009A39AD" w:rsidRPr="00B61492" w:rsidRDefault="009A39AD" w:rsidP="005973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4A9C9577" w14:textId="77777777" w:rsidR="009A39AD" w:rsidRPr="00B61492" w:rsidRDefault="009A39AD" w:rsidP="005973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9A39AD" w:rsidRPr="00B61492" w14:paraId="1BEB8B1B" w14:textId="77777777" w:rsidTr="0059738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4D3A" w14:textId="77777777" w:rsidR="009A39AD" w:rsidRPr="00B61492" w:rsidRDefault="009A39AD" w:rsidP="005973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A39AD" w:rsidRPr="00B61492" w14:paraId="7460D951" w14:textId="77777777" w:rsidTr="0059738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46E7" w14:textId="77777777" w:rsidR="009A39AD" w:rsidRPr="00B61492" w:rsidRDefault="009A39AD" w:rsidP="005973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A39AD" w:rsidRPr="00B61492" w14:paraId="22FB46BB" w14:textId="77777777" w:rsidTr="0059738C">
        <w:trPr>
          <w:trHeight w:val="8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DEA9E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E8257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9A39AD" w:rsidRPr="00B61492" w14:paraId="46D95255" w14:textId="77777777" w:rsidTr="0059738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D548FB" w14:textId="77777777" w:rsidR="009A39AD" w:rsidRPr="00B61492" w:rsidRDefault="009A39AD" w:rsidP="00597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D7EE1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9A39AD" w:rsidRPr="00B61492" w14:paraId="3CF5A34C" w14:textId="77777777" w:rsidTr="0059738C">
        <w:trPr>
          <w:trHeight w:val="76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8637E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D9FBC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2.1 Rozwój branży turystycznej wykorzystującej w sposób zrównoważony lokalne zasoby i dziedzictwo oraz pasje mieszkańców</w:t>
            </w:r>
          </w:p>
        </w:tc>
      </w:tr>
      <w:tr w:rsidR="009A39AD" w:rsidRPr="00B61492" w14:paraId="7894320E" w14:textId="77777777" w:rsidTr="0059738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676B3" w14:textId="77777777" w:rsidR="009A39AD" w:rsidRPr="00B61492" w:rsidRDefault="009A39AD" w:rsidP="00597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47BF4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2.2 Rozwój infrastruktury uzupełniającej ofertę turystyczna LGD</w:t>
            </w:r>
          </w:p>
        </w:tc>
      </w:tr>
      <w:tr w:rsidR="009A39AD" w:rsidRPr="00B61492" w14:paraId="63275540" w14:textId="77777777" w:rsidTr="0059738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512AEF" w14:textId="77777777" w:rsidR="009A39AD" w:rsidRPr="00B61492" w:rsidRDefault="009A39AD" w:rsidP="00597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909BD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9A39AD" w:rsidRPr="00B61492" w14:paraId="47BC56A8" w14:textId="77777777" w:rsidTr="0059738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E5DED" w14:textId="77777777" w:rsidR="009A39AD" w:rsidRPr="00B61492" w:rsidRDefault="009A39AD" w:rsidP="00597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63999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4.2 Włączenie grup de faworyzowanych poprzez zwiększenie możliwości ich zaangażowania w życie </w:t>
            </w:r>
            <w:proofErr w:type="spellStart"/>
            <w:r w:rsidRPr="00B61492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B61492">
              <w:rPr>
                <w:rFonts w:ascii="Times New Roman" w:hAnsi="Times New Roman" w:cs="Times New Roman"/>
              </w:rPr>
              <w:t xml:space="preserve"> – kulturalne obszaru LGD</w:t>
            </w:r>
          </w:p>
        </w:tc>
      </w:tr>
      <w:tr w:rsidR="009A39AD" w:rsidRPr="00B61492" w14:paraId="1CD62385" w14:textId="77777777" w:rsidTr="0059738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554E17" w14:textId="77777777" w:rsidR="009A39AD" w:rsidRPr="00B61492" w:rsidRDefault="009A39AD" w:rsidP="00597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180C7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4.4 Zachowanie i zrównoważone wykorzystanie dziedzictwa kulturowego, historycznego, przyrodniczego i rybackiego</w:t>
            </w:r>
          </w:p>
        </w:tc>
      </w:tr>
      <w:tr w:rsidR="009A39AD" w:rsidRPr="00B61492" w14:paraId="3594A0F2" w14:textId="77777777" w:rsidTr="0059738C">
        <w:trPr>
          <w:trHeight w:val="396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D54E5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EBC25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2.2.1 Budowa małej architektury turystycznej, rekreacyjnej i sportowej</w:t>
            </w:r>
          </w:p>
        </w:tc>
      </w:tr>
      <w:tr w:rsidR="009A39AD" w:rsidRPr="00B61492" w14:paraId="3BF0A5CE" w14:textId="77777777" w:rsidTr="0059738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EF4506" w14:textId="77777777" w:rsidR="009A39AD" w:rsidRPr="00B61492" w:rsidRDefault="009A39AD" w:rsidP="00597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7BA3D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4.1.2 Wsparcie grup promujących zasoby regionu</w:t>
            </w:r>
          </w:p>
        </w:tc>
      </w:tr>
      <w:tr w:rsidR="009A39AD" w:rsidRPr="00B61492" w14:paraId="3EAC0A63" w14:textId="77777777" w:rsidTr="0059738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159C31" w14:textId="77777777" w:rsidR="009A39AD" w:rsidRPr="00B61492" w:rsidRDefault="009A39AD" w:rsidP="00597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5BACC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4.1.3 Wsparcie działań dotyczących wyposażenia grup kultywujących dziedzictwo obszaru</w:t>
            </w:r>
          </w:p>
        </w:tc>
      </w:tr>
      <w:tr w:rsidR="009A39AD" w:rsidRPr="00B61492" w14:paraId="44B40B01" w14:textId="77777777" w:rsidTr="0059738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174F7B" w14:textId="77777777" w:rsidR="009A39AD" w:rsidRPr="00B61492" w:rsidRDefault="009A39AD" w:rsidP="00597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10184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4.1.5 Wsparcie działań w zakresie adaptacji, przystosowania i wyposażenia miejsc przyczyniających się do wzmocnienia kapitału społecznego </w:t>
            </w:r>
          </w:p>
        </w:tc>
      </w:tr>
      <w:tr w:rsidR="009A39AD" w:rsidRPr="00B61492" w14:paraId="6BA7DE9D" w14:textId="77777777" w:rsidTr="0059738C">
        <w:trPr>
          <w:trHeight w:val="437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70E56" w14:textId="77777777" w:rsidR="009A39AD" w:rsidRPr="00B61492" w:rsidRDefault="009A39AD" w:rsidP="00597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DE570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4.1.7 Moja Inteligentna Wieś</w:t>
            </w:r>
          </w:p>
        </w:tc>
      </w:tr>
      <w:tr w:rsidR="009A39AD" w:rsidRPr="00B61492" w14:paraId="10627D03" w14:textId="77777777" w:rsidTr="0059738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1420A7" w14:textId="77777777" w:rsidR="009A39AD" w:rsidRPr="00B61492" w:rsidRDefault="009A39AD" w:rsidP="00597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564A1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4.2.1 Dostosowanie i wyposażenie obiektów pełniących funkcje </w:t>
            </w:r>
            <w:proofErr w:type="spellStart"/>
            <w:r w:rsidRPr="00B61492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B61492">
              <w:rPr>
                <w:rFonts w:ascii="Times New Roman" w:hAnsi="Times New Roman" w:cs="Times New Roman"/>
              </w:rPr>
              <w:t xml:space="preserve"> - kulturalne</w:t>
            </w:r>
          </w:p>
        </w:tc>
      </w:tr>
      <w:tr w:rsidR="009A39AD" w:rsidRPr="00B61492" w14:paraId="57CA6558" w14:textId="77777777" w:rsidTr="0059738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628DC5" w14:textId="77777777" w:rsidR="009A39AD" w:rsidRPr="00B61492" w:rsidRDefault="009A39AD" w:rsidP="00597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58274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4.2.2 Wsparcie działań dotyczących wyposażenia dla organizacji zaangażowanych w pracę na rzecz grup </w:t>
            </w:r>
            <w:proofErr w:type="spellStart"/>
            <w:r w:rsidRPr="00B61492">
              <w:rPr>
                <w:rFonts w:ascii="Times New Roman" w:hAnsi="Times New Roman" w:cs="Times New Roman"/>
              </w:rPr>
              <w:t>defawory</w:t>
            </w:r>
            <w:r>
              <w:rPr>
                <w:rFonts w:ascii="Times New Roman" w:hAnsi="Times New Roman" w:cs="Times New Roman"/>
              </w:rPr>
              <w:t>z</w:t>
            </w:r>
            <w:r w:rsidRPr="00B614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</w:t>
            </w:r>
            <w:r w:rsidRPr="00B61492">
              <w:rPr>
                <w:rFonts w:ascii="Times New Roman" w:hAnsi="Times New Roman" w:cs="Times New Roman"/>
              </w:rPr>
              <w:t>anych</w:t>
            </w:r>
            <w:proofErr w:type="spellEnd"/>
            <w:r w:rsidRPr="00B614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9AD" w:rsidRPr="00B61492" w14:paraId="5F01147D" w14:textId="77777777" w:rsidTr="0059738C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ECC92" w14:textId="77777777" w:rsidR="009A39AD" w:rsidRPr="00B61492" w:rsidRDefault="009A39AD" w:rsidP="00597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AAA39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4.2.4 Świetlica moje miejsce</w:t>
            </w:r>
          </w:p>
        </w:tc>
      </w:tr>
      <w:tr w:rsidR="009A39AD" w:rsidRPr="00B61492" w14:paraId="51DCDB78" w14:textId="77777777" w:rsidTr="0059738C">
        <w:trPr>
          <w:trHeight w:val="459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BD9B3" w14:textId="77777777" w:rsidR="009A39AD" w:rsidRPr="00B61492" w:rsidRDefault="009A39AD" w:rsidP="00597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B7D25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4.4.1 Wsparcie działań w zakresie renowacji obiektów zabytkowych</w:t>
            </w:r>
          </w:p>
        </w:tc>
      </w:tr>
      <w:tr w:rsidR="009A39AD" w:rsidRPr="00B61492" w14:paraId="04100B5F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DC5B25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A15808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BB1096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7810A1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2A491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Ilość przyznanych punktów</w:t>
            </w:r>
          </w:p>
        </w:tc>
      </w:tr>
      <w:tr w:rsidR="009A39AD" w:rsidRPr="00B61492" w14:paraId="00678C43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90F3EE" w14:textId="77777777"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E90C" w14:textId="77777777" w:rsidR="009A39AD" w:rsidRPr="00B61492" w:rsidRDefault="009A39AD" w:rsidP="009A39AD">
            <w:pPr>
              <w:numPr>
                <w:ilvl w:val="0"/>
                <w:numId w:val="9"/>
              </w:num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Wnioskodawca skonsultował wniosek i korzystał z doradztwa z pracownikami Biura LGD</w:t>
            </w:r>
          </w:p>
          <w:p w14:paraId="1BFB474E" w14:textId="77777777" w:rsidR="009A39AD" w:rsidRPr="00B61492" w:rsidRDefault="009A39AD" w:rsidP="0059738C">
            <w:pPr>
              <w:spacing w:before="60" w:after="60"/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11EB3BED" w14:textId="77777777" w:rsidR="009A39AD" w:rsidRPr="00B61492" w:rsidRDefault="009A39AD" w:rsidP="009A39AD">
            <w:pPr>
              <w:numPr>
                <w:ilvl w:val="0"/>
                <w:numId w:val="9"/>
              </w:num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Wnioskodawca uczestniczył w szkoleniu organizowanym przez LGD przed złożeniem wniosku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BC9B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0/2</w:t>
            </w:r>
          </w:p>
          <w:p w14:paraId="685E410D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02F27927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2B1E7016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49BEC832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37130C98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E24E" w14:textId="77777777" w:rsidR="009A39AD" w:rsidRPr="00B61492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14:paraId="7EB4C849" w14:textId="77777777" w:rsidR="009A39AD" w:rsidRPr="00B61492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14:paraId="7874A5C2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Spełnienie kryterium będzie badane na podstawie informacji zawartej we wniosku o przyznanie pomocy i prowadzonej przez Biuro LGD ewidencji doradztwa.</w:t>
            </w:r>
          </w:p>
          <w:p w14:paraId="2E07EC74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Wnioskodawca wziął udział w szkoleniu dotyczącym wypełniania wniosku o powierzenie grantu. Szkolenie organizowane zostanie przed rozpoczęciem przyjmowania wniosków. O szkoleniu LGD poinformuje na swojej stronie </w:t>
            </w:r>
            <w:proofErr w:type="spellStart"/>
            <w:r w:rsidRPr="00B61492">
              <w:rPr>
                <w:rFonts w:ascii="Times New Roman" w:hAnsi="Times New Roman" w:cs="Times New Roman"/>
              </w:rPr>
              <w:lastRenderedPageBreak/>
              <w:t>interentowej</w:t>
            </w:r>
            <w:proofErr w:type="spellEnd"/>
            <w:r w:rsidRPr="00B61492">
              <w:rPr>
                <w:rFonts w:ascii="Times New Roman" w:hAnsi="Times New Roman" w:cs="Times New Roman"/>
              </w:rPr>
              <w:t xml:space="preserve">, na profilu </w:t>
            </w:r>
            <w:proofErr w:type="spellStart"/>
            <w:r w:rsidRPr="00B61492">
              <w:rPr>
                <w:rFonts w:ascii="Times New Roman" w:hAnsi="Times New Roman" w:cs="Times New Roman"/>
              </w:rPr>
              <w:t>facebooku</w:t>
            </w:r>
            <w:proofErr w:type="spellEnd"/>
            <w:r w:rsidRPr="00B61492">
              <w:rPr>
                <w:rFonts w:ascii="Times New Roman" w:hAnsi="Times New Roman" w:cs="Times New Roman"/>
              </w:rPr>
              <w:t xml:space="preserve"> oraz przekaże informacje wszystkim gminom.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E40E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9AD" w:rsidRPr="00B61492" w14:paraId="7B2C85FC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C8909" w14:textId="77777777"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E112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Operacja jest innowacyjna zgodnie z definicją i zakresem przyjętym w LSR oraz na jej wprowadzenie zaplanowano koszty w budżecie</w:t>
            </w:r>
          </w:p>
          <w:p w14:paraId="68441F7E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Operacja jest innowacyjna:</w:t>
            </w:r>
          </w:p>
          <w:p w14:paraId="18790835" w14:textId="77777777" w:rsidR="009A39AD" w:rsidRPr="00B61492" w:rsidRDefault="009A39AD" w:rsidP="009A39AD">
            <w:pPr>
              <w:numPr>
                <w:ilvl w:val="0"/>
                <w:numId w:val="5"/>
              </w:numPr>
              <w:spacing w:before="60" w:after="60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na obszarze LGD</w:t>
            </w:r>
          </w:p>
          <w:p w14:paraId="763C8E26" w14:textId="77777777" w:rsidR="009A39AD" w:rsidRPr="00B61492" w:rsidRDefault="009A39AD" w:rsidP="009A39AD">
            <w:pPr>
              <w:numPr>
                <w:ilvl w:val="0"/>
                <w:numId w:val="5"/>
              </w:numPr>
              <w:spacing w:before="60" w:after="60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na obszarze gminy</w:t>
            </w:r>
          </w:p>
          <w:p w14:paraId="0C265127" w14:textId="77777777" w:rsidR="009A39AD" w:rsidRPr="00B61492" w:rsidRDefault="009A39AD" w:rsidP="009A39AD">
            <w:pPr>
              <w:numPr>
                <w:ilvl w:val="0"/>
                <w:numId w:val="5"/>
              </w:numPr>
              <w:spacing w:before="60" w:after="60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na obszarze miejscowości</w:t>
            </w:r>
          </w:p>
          <w:p w14:paraId="3503F6B2" w14:textId="77777777" w:rsidR="009A39AD" w:rsidRPr="00B61492" w:rsidRDefault="009A39AD" w:rsidP="009A39AD">
            <w:pPr>
              <w:numPr>
                <w:ilvl w:val="0"/>
                <w:numId w:val="5"/>
              </w:numPr>
              <w:spacing w:before="60" w:after="60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E6F9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6D78D644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4FC0D9A0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3469B0C2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55AECFF4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</w:p>
          <w:p w14:paraId="2E6C9670" w14:textId="77777777" w:rsidR="009A39AD" w:rsidRPr="00B61492" w:rsidRDefault="009A39AD" w:rsidP="0059738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3</w:t>
            </w:r>
          </w:p>
          <w:p w14:paraId="16D41584" w14:textId="77777777" w:rsidR="009A39AD" w:rsidRPr="00B61492" w:rsidRDefault="009A39AD" w:rsidP="0059738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2</w:t>
            </w:r>
          </w:p>
          <w:p w14:paraId="614A1FB9" w14:textId="77777777" w:rsidR="009A39AD" w:rsidRPr="00B61492" w:rsidRDefault="009A39AD" w:rsidP="0059738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1</w:t>
            </w:r>
          </w:p>
          <w:p w14:paraId="73AFF3F1" w14:textId="77777777" w:rsidR="009A39AD" w:rsidRPr="00B61492" w:rsidRDefault="009A39AD" w:rsidP="0059738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486E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14:paraId="4A9D82BF" w14:textId="77777777" w:rsidR="009A39AD" w:rsidRPr="00B61492" w:rsidRDefault="009A39AD" w:rsidP="00597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61492">
              <w:rPr>
                <w:rFonts w:ascii="Times New Roman" w:hAnsi="Times New Roman" w:cs="Times New Roman"/>
                <w:lang w:eastAsia="en-US"/>
              </w:rPr>
              <w:t>Grantobiorca</w:t>
            </w:r>
            <w:proofErr w:type="spellEnd"/>
            <w:r w:rsidRPr="00B61492">
              <w:rPr>
                <w:rFonts w:ascii="Times New Roman" w:hAnsi="Times New Roman" w:cs="Times New Roman"/>
                <w:lang w:eastAsia="en-US"/>
              </w:rPr>
              <w:t xml:space="preserve"> musi dokładnie opisać innowacyjność swojej operacji w sposób nie budzący wątpliwości.</w:t>
            </w:r>
          </w:p>
          <w:p w14:paraId="17ADAA9D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  <w:iCs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 w:rsidRPr="00B61492">
              <w:rPr>
                <w:rFonts w:ascii="Times New Roman" w:hAnsi="Times New Roman" w:cs="Times New Roman"/>
                <w:iCs/>
              </w:rPr>
              <w:t>Grantobiorcę</w:t>
            </w:r>
            <w:proofErr w:type="spellEnd"/>
            <w:r w:rsidRPr="00B61492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F89C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9AD" w:rsidRPr="00B61492" w14:paraId="70760EC8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D0490" w14:textId="77777777"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F76E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Kwota dofinansowania wynosi:</w:t>
            </w:r>
          </w:p>
          <w:p w14:paraId="3AD51F30" w14:textId="77777777" w:rsidR="009A39AD" w:rsidRPr="00B61492" w:rsidRDefault="009A39AD" w:rsidP="009A39AD">
            <w:pPr>
              <w:numPr>
                <w:ilvl w:val="0"/>
                <w:numId w:val="1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do 25 tyś.</w:t>
            </w:r>
          </w:p>
          <w:p w14:paraId="1D1A4151" w14:textId="77777777" w:rsidR="009A39AD" w:rsidRPr="00B61492" w:rsidRDefault="009A39AD" w:rsidP="009A39AD">
            <w:pPr>
              <w:numPr>
                <w:ilvl w:val="0"/>
                <w:numId w:val="1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pow. 25 tyś. do 30 tyś.</w:t>
            </w:r>
          </w:p>
          <w:p w14:paraId="134881D7" w14:textId="77777777" w:rsidR="009A39AD" w:rsidRPr="00B61492" w:rsidRDefault="009A39AD" w:rsidP="009A39AD">
            <w:pPr>
              <w:numPr>
                <w:ilvl w:val="0"/>
                <w:numId w:val="1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pow. 30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DE89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12CB07E9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11FB3CD4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2</w:t>
            </w:r>
          </w:p>
          <w:p w14:paraId="6E5959EB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1</w:t>
            </w:r>
          </w:p>
          <w:p w14:paraId="74DB8275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A689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Preferowane będą operacje o niższej wartości dofinansowania.</w:t>
            </w:r>
          </w:p>
          <w:p w14:paraId="46899C21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66F8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9AD" w:rsidRPr="00B61492" w14:paraId="57E364C1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2214ED" w14:textId="77777777"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B51E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Operacja realizowana jest przez:</w:t>
            </w:r>
          </w:p>
          <w:p w14:paraId="37F624D4" w14:textId="77777777" w:rsidR="009A39AD" w:rsidRPr="00B61492" w:rsidRDefault="009A39AD" w:rsidP="009A39AD">
            <w:pPr>
              <w:numPr>
                <w:ilvl w:val="0"/>
                <w:numId w:val="1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organizację pozarządową</w:t>
            </w:r>
          </w:p>
          <w:p w14:paraId="78EFA630" w14:textId="77777777" w:rsidR="009A39AD" w:rsidRPr="00B61492" w:rsidRDefault="009A39AD" w:rsidP="009A39AD">
            <w:pPr>
              <w:numPr>
                <w:ilvl w:val="0"/>
                <w:numId w:val="1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8317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2CFCC261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77B9BF7A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2</w:t>
            </w:r>
          </w:p>
          <w:p w14:paraId="2BF3AD06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82D7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Preferowane będą operacje, których wnioskodawcami będą organizacje pozarządowe.</w:t>
            </w:r>
          </w:p>
          <w:p w14:paraId="72454CC4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F329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9AD" w:rsidRPr="00B61492" w14:paraId="7FE8578C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9D196D" w14:textId="77777777"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5838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Operacja wynika z konkretnych potrzeb danej społeczności i rozwiązuje lokalny problem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2C38" w14:textId="77777777"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2BF2" w14:textId="77777777" w:rsidR="009A39AD" w:rsidRPr="00B61492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Kryterium uznaje się za spełnione jeśli </w:t>
            </w:r>
            <w:proofErr w:type="spellStart"/>
            <w:r w:rsidRPr="00B61492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B61492">
              <w:rPr>
                <w:rFonts w:ascii="Times New Roman" w:hAnsi="Times New Roman" w:cs="Times New Roman"/>
              </w:rPr>
              <w:t xml:space="preserve"> we wniosku o dofinansowanie zdiagnozował i opisał dokładnie problem lokalny i zaplanował działania, które go rozwiązują. Działania musza być uzasadnione i muszą być  odpowiedzią na wskazany problem. Dodatkowo należy opisać jak realizacja grantu przyczyni się do zminimalizowania skutków problemu. W przypadku infrastruktury wnioskodawca powinien udokumentować istniejący problem.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C751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9AD" w:rsidRPr="00B61492" w14:paraId="0378A6CE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738FFF" w14:textId="77777777"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E01C" w14:textId="77777777" w:rsidR="009A39AD" w:rsidRPr="00B61492" w:rsidRDefault="009A39AD" w:rsidP="0059738C">
            <w:pPr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Operacja ma wpływ na rozwiązywanie problemów obszaru objętego LSR wskazanych w diagnozie:</w:t>
            </w:r>
          </w:p>
          <w:p w14:paraId="2F0D6E09" w14:textId="77777777" w:rsidR="009A39AD" w:rsidRPr="00B61492" w:rsidRDefault="009A39AD" w:rsidP="0059738C">
            <w:pPr>
              <w:rPr>
                <w:rFonts w:ascii="Times New Roman" w:hAnsi="Times New Roman" w:cs="Times New Roman"/>
              </w:rPr>
            </w:pPr>
          </w:p>
          <w:p w14:paraId="31431D45" w14:textId="77777777" w:rsidR="009A39AD" w:rsidRPr="00B61492" w:rsidRDefault="009A39AD" w:rsidP="009A39AD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operacja przyczynia się do rozwiązania 3 problemów</w:t>
            </w:r>
          </w:p>
          <w:p w14:paraId="76C6BD46" w14:textId="77777777" w:rsidR="009A39AD" w:rsidRPr="00B61492" w:rsidRDefault="009A39AD" w:rsidP="0059738C">
            <w:pPr>
              <w:ind w:left="357"/>
              <w:contextualSpacing/>
              <w:rPr>
                <w:rFonts w:ascii="Times New Roman" w:hAnsi="Times New Roman" w:cs="Times New Roman"/>
              </w:rPr>
            </w:pPr>
          </w:p>
          <w:p w14:paraId="41582522" w14:textId="77777777" w:rsidR="009A39AD" w:rsidRPr="00B61492" w:rsidRDefault="009A39AD" w:rsidP="009A39AD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operacja przyczynia się do rozwiązania 2 problemów </w:t>
            </w:r>
          </w:p>
          <w:p w14:paraId="6D95692F" w14:textId="77777777" w:rsidR="009A39AD" w:rsidRPr="00B61492" w:rsidRDefault="009A39AD" w:rsidP="0059738C">
            <w:pPr>
              <w:rPr>
                <w:rFonts w:ascii="Times New Roman" w:hAnsi="Times New Roman" w:cs="Times New Roman"/>
              </w:rPr>
            </w:pPr>
          </w:p>
          <w:p w14:paraId="17F11621" w14:textId="77777777" w:rsidR="009A39AD" w:rsidRPr="00B61492" w:rsidRDefault="009A39AD" w:rsidP="009A39AD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B2C1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44D84385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37A32201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085C4E4B" w14:textId="77777777" w:rsidR="009A39AD" w:rsidRPr="00B61492" w:rsidRDefault="009A39AD" w:rsidP="0059738C">
            <w:pPr>
              <w:rPr>
                <w:rFonts w:ascii="Times New Roman" w:hAnsi="Times New Roman" w:cs="Times New Roman"/>
              </w:rPr>
            </w:pPr>
          </w:p>
          <w:p w14:paraId="58344320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67FFFF16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3</w:t>
            </w:r>
          </w:p>
          <w:p w14:paraId="62E9CE60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3E9F1B7B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78EE1905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6142BEC3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589D390C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2</w:t>
            </w:r>
          </w:p>
          <w:p w14:paraId="22A26504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4B0A1442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5CB7FE98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19AEE629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65C07DAC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1</w:t>
            </w:r>
          </w:p>
          <w:p w14:paraId="24A213F7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78E4B475" w14:textId="77777777" w:rsidR="009A39AD" w:rsidRPr="00B61492" w:rsidRDefault="009A39AD" w:rsidP="00597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E283" w14:textId="77777777" w:rsidR="009A39AD" w:rsidRPr="00B61492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Kryterium uznaje się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wpływ operacji na jego rozwiązanie. Każda operacja powinna się przyczyniać do rozwiązania minimum jednego problemu zdiagnozowanego w LSR. W przypadku braku uzasadnienia i odniesienia się do problemów zawartych w LSR punkty nie mogą zostać przyznane.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BF18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9AD" w:rsidRPr="00B61492" w14:paraId="35B0BF38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A3F152" w14:textId="77777777" w:rsidR="009A39AD" w:rsidRPr="00B61492" w:rsidRDefault="009A39AD" w:rsidP="0059738C">
            <w:p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B161" w14:textId="77777777" w:rsidR="009A39AD" w:rsidRPr="00B61492" w:rsidRDefault="009A39AD" w:rsidP="0059738C">
            <w:pPr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Operacja zakłada promocje obszaru LGD:</w:t>
            </w:r>
          </w:p>
          <w:p w14:paraId="7D3AA0DD" w14:textId="77777777" w:rsidR="009A39AD" w:rsidRPr="00B61492" w:rsidRDefault="009A39AD" w:rsidP="009A39AD">
            <w:pPr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poza obszarem LGD</w:t>
            </w:r>
          </w:p>
          <w:p w14:paraId="4D3A3B31" w14:textId="77777777" w:rsidR="009A39AD" w:rsidRPr="00B61492" w:rsidRDefault="009A39AD" w:rsidP="009A39AD">
            <w:pPr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na terenie obszaru LGD</w:t>
            </w:r>
          </w:p>
          <w:p w14:paraId="4DFD98D9" w14:textId="77777777" w:rsidR="009A39AD" w:rsidRPr="00B61492" w:rsidRDefault="009A39AD" w:rsidP="009A39AD">
            <w:pPr>
              <w:numPr>
                <w:ilvl w:val="0"/>
                <w:numId w:val="7"/>
              </w:numPr>
              <w:spacing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nie zakłada promocji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92B4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1351BD03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41CCE9B7" w14:textId="77777777" w:rsidR="009A39AD" w:rsidRPr="00B61492" w:rsidRDefault="009A39AD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3</w:t>
            </w:r>
          </w:p>
          <w:p w14:paraId="6D2EF236" w14:textId="77777777" w:rsidR="009A39AD" w:rsidRPr="00B61492" w:rsidRDefault="009A39AD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2</w:t>
            </w:r>
          </w:p>
          <w:p w14:paraId="3D0EEE90" w14:textId="77777777" w:rsidR="009A39AD" w:rsidRPr="00B61492" w:rsidRDefault="009A39AD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00E2E85A" w14:textId="77777777" w:rsidR="009A39AD" w:rsidRPr="00B61492" w:rsidRDefault="009A39AD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769A" w14:textId="77777777" w:rsidR="009A39AD" w:rsidRPr="00B61492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Kryterium uznaje się za spełnione jeżeli efektem realizacji operacji będzie podejmowanie działań których celem będzie promocja obszaru LGD. </w:t>
            </w:r>
            <w:proofErr w:type="spellStart"/>
            <w:r w:rsidRPr="00B61492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B61492">
              <w:rPr>
                <w:rFonts w:ascii="Times New Roman" w:hAnsi="Times New Roman" w:cs="Times New Roman"/>
              </w:rPr>
              <w:t xml:space="preserve"> powinien we wniosku opisać działanie jakie będzie podejmował dzięki realizacji operacji oraz powinien wskazać miejsce ich realizacji.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A460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9AD" w:rsidRPr="00B61492" w14:paraId="69C0AD53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A49C59" w14:textId="77777777" w:rsidR="009A39AD" w:rsidRPr="00B61492" w:rsidRDefault="009A39AD" w:rsidP="0059738C">
            <w:p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F220" w14:textId="77777777" w:rsidR="009A39AD" w:rsidRPr="00B61492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Operacja wpływa na podwyższenie wiedzy i/lub umiejętności oraz zaangażowania mieszańców należących do grup </w:t>
            </w:r>
            <w:proofErr w:type="spellStart"/>
            <w:r w:rsidRPr="00B61492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61492">
              <w:rPr>
                <w:rFonts w:ascii="Times New Roman" w:hAnsi="Times New Roman" w:cs="Times New Roman"/>
              </w:rPr>
              <w:t xml:space="preserve"> obszaru LGD określonych w LSR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8FC3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5F771962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B3DE" w14:textId="77777777" w:rsidR="009A39AD" w:rsidRPr="00B61492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Kryterium uznaje się za spełnione jeśli wnioskodawca założył działania mające wpływ na podwyższenie wiedzy i/lub umiejętności oraz zaangażowania mieszkańców należących do grup </w:t>
            </w:r>
            <w:proofErr w:type="spellStart"/>
            <w:r w:rsidRPr="00B61492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61492">
              <w:rPr>
                <w:rFonts w:ascii="Times New Roman" w:hAnsi="Times New Roman" w:cs="Times New Roman"/>
              </w:rPr>
              <w:t xml:space="preserve"> obszaru </w:t>
            </w:r>
            <w:proofErr w:type="spellStart"/>
            <w:r w:rsidRPr="00B61492">
              <w:rPr>
                <w:rFonts w:ascii="Times New Roman" w:hAnsi="Times New Roman" w:cs="Times New Roman"/>
              </w:rPr>
              <w:t>obszaru</w:t>
            </w:r>
            <w:proofErr w:type="spellEnd"/>
            <w:r w:rsidRPr="00B61492">
              <w:rPr>
                <w:rFonts w:ascii="Times New Roman" w:hAnsi="Times New Roman" w:cs="Times New Roman"/>
              </w:rPr>
              <w:t xml:space="preserve"> LGD określonych w LSR. </w:t>
            </w:r>
            <w:proofErr w:type="spellStart"/>
            <w:r w:rsidRPr="00B61492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B61492">
              <w:rPr>
                <w:rFonts w:ascii="Times New Roman" w:hAnsi="Times New Roman" w:cs="Times New Roman"/>
              </w:rPr>
              <w:t xml:space="preserve"> powinien opisać działania, odbiorców (grupę) oraz efekty. Kryterium ma na celu wzmocnienie grup </w:t>
            </w:r>
            <w:proofErr w:type="spellStart"/>
            <w:r w:rsidRPr="00B61492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61492">
              <w:rPr>
                <w:rFonts w:ascii="Times New Roman" w:hAnsi="Times New Roman" w:cs="Times New Roman"/>
              </w:rPr>
              <w:t xml:space="preserve"> w tym ich wiedzy i umiejętności niezbędnych do  wzrostu ich zaangażowania i poprawy jakości życia.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41BD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9AD" w:rsidRPr="00B61492" w14:paraId="0D873315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C635CD" w14:textId="77777777" w:rsidR="009A39AD" w:rsidRPr="00B61492" w:rsidRDefault="009A39AD" w:rsidP="0059738C">
            <w:p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BB7D" w14:textId="77777777" w:rsidR="009A39AD" w:rsidRPr="00B61492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Operacja przyczyni się do podniesienia aktywności mieszkańców i wzmocni ich więzi z miejscem zamieszkania.</w:t>
            </w:r>
          </w:p>
          <w:p w14:paraId="40C75EDC" w14:textId="77777777" w:rsidR="009A39AD" w:rsidRPr="00B61492" w:rsidRDefault="009A39AD" w:rsidP="009A39A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grant wynika z inicjatywy oddolnej mieszkańców i zakłada ich zaangażowanie podczas realizacji grantu oraz podejmowanie działań po zakończeniu grantu</w:t>
            </w:r>
          </w:p>
          <w:p w14:paraId="3B8EFD75" w14:textId="77777777" w:rsidR="009A39AD" w:rsidRPr="00B61492" w:rsidRDefault="009A39AD" w:rsidP="009A39A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grant wynika z inicjatywy oddolnej mieszkańców i zakłada ich zaangażowanie podczas realizacji grantu</w:t>
            </w:r>
          </w:p>
          <w:p w14:paraId="779E3BAE" w14:textId="77777777" w:rsidR="009A39AD" w:rsidRPr="00B61492" w:rsidRDefault="009A39AD" w:rsidP="0059738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7BAC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05E939E6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5F5ED9CF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54D6CF50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4FDC063B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46E7DAED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47C6999A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</w:t>
            </w:r>
          </w:p>
          <w:p w14:paraId="28FF8B2E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6E8B1C34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69C5F571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6A65E84F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628E0CFE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7E95547F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41D77F60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6DCE" w14:textId="77777777" w:rsidR="009A39AD" w:rsidRPr="00B61492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lastRenderedPageBreak/>
              <w:t xml:space="preserve">Kryterium uznaje się za spełnione jeśli </w:t>
            </w:r>
            <w:proofErr w:type="spellStart"/>
            <w:r w:rsidRPr="00B61492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B61492">
              <w:rPr>
                <w:rFonts w:ascii="Times New Roman" w:hAnsi="Times New Roman" w:cs="Times New Roman"/>
              </w:rPr>
              <w:t xml:space="preserve"> założył że, realizacja granu przyczyni się do podniesienia aktywności mieszkańców i wzmocnienia ich więzi z miejscem zamieszkania. </w:t>
            </w:r>
          </w:p>
          <w:p w14:paraId="0D0728D8" w14:textId="77777777" w:rsidR="009A39AD" w:rsidRPr="00B61492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1492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B61492">
              <w:rPr>
                <w:rFonts w:ascii="Times New Roman" w:hAnsi="Times New Roman" w:cs="Times New Roman"/>
              </w:rPr>
              <w:t xml:space="preserve"> powinien opisać inicjatywę oddolną mieszkańców oraz załączyć listę poparcia inicjatywy z podpisem minimum 15 mieszkańców miejscowości. </w:t>
            </w:r>
          </w:p>
          <w:p w14:paraId="66B69201" w14:textId="77777777" w:rsidR="009A39AD" w:rsidRPr="00B61492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 xml:space="preserve">Powinien rozpisać sposób zaangażowania mieszkańców w realizację grantu wskazując konkretne zadania które będą </w:t>
            </w:r>
            <w:r w:rsidRPr="00B61492">
              <w:rPr>
                <w:rFonts w:ascii="Times New Roman" w:hAnsi="Times New Roman" w:cs="Times New Roman"/>
              </w:rPr>
              <w:lastRenderedPageBreak/>
              <w:t xml:space="preserve">realizowane przez mieszkańców w okresie realizacji grantu i po jego zakończeniu. Grant powinien zakładać włączenie grup nieaktywnych do tej pory.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0F4B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AB359C2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39AD" w:rsidRPr="00B61492" w14:paraId="22BADD61" w14:textId="77777777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BF6AAC" w14:textId="77777777" w:rsidR="009A39AD" w:rsidRPr="00B61492" w:rsidRDefault="009A39AD" w:rsidP="0059738C">
            <w:p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0B3F" w14:textId="77777777" w:rsidR="009A39AD" w:rsidRPr="00B61492" w:rsidRDefault="009A39AD" w:rsidP="0059738C">
            <w:pPr>
              <w:contextualSpacing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61492">
              <w:rPr>
                <w:rStyle w:val="markedcontent"/>
                <w:rFonts w:ascii="Times New Roman" w:hAnsi="Times New Roman" w:cs="Times New Roman"/>
              </w:rPr>
              <w:t>W ramach realizacji grantu zaplanowano organizację</w:t>
            </w:r>
            <w:r w:rsidRPr="00B61492">
              <w:rPr>
                <w:rFonts w:ascii="Times New Roman" w:hAnsi="Times New Roman" w:cs="Times New Roman"/>
              </w:rPr>
              <w:t xml:space="preserve"> </w:t>
            </w:r>
            <w:r w:rsidRPr="00B61492">
              <w:rPr>
                <w:rStyle w:val="markedcontent"/>
                <w:rFonts w:ascii="Times New Roman" w:hAnsi="Times New Roman" w:cs="Times New Roman"/>
              </w:rPr>
              <w:t>więcej niż</w:t>
            </w:r>
            <w:r w:rsidRPr="00B61492">
              <w:rPr>
                <w:rFonts w:ascii="Times New Roman" w:hAnsi="Times New Roman" w:cs="Times New Roman"/>
              </w:rPr>
              <w:t xml:space="preserve"> </w:t>
            </w:r>
            <w:r w:rsidRPr="00B61492">
              <w:rPr>
                <w:rStyle w:val="markedcontent"/>
                <w:rFonts w:ascii="Times New Roman" w:hAnsi="Times New Roman" w:cs="Times New Roman"/>
              </w:rPr>
              <w:t>jednego wydarzenia skierowanego do lokalnej społeczności:</w:t>
            </w:r>
          </w:p>
          <w:p w14:paraId="73F843A7" w14:textId="77777777" w:rsidR="009A39AD" w:rsidRPr="00B61492" w:rsidRDefault="009A39AD" w:rsidP="009A39A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organizacja 3 wydarzeń</w:t>
            </w:r>
          </w:p>
          <w:p w14:paraId="164860B8" w14:textId="77777777" w:rsidR="009A39AD" w:rsidRPr="00B61492" w:rsidRDefault="009A39AD" w:rsidP="009A39A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organizacja 2 wydarzeń</w:t>
            </w:r>
          </w:p>
          <w:p w14:paraId="71B340D7" w14:textId="77777777" w:rsidR="009A39AD" w:rsidRPr="00B61492" w:rsidRDefault="009A39AD" w:rsidP="009A39AD">
            <w:pPr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organizacja mniej niż 2 wydarzeń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7BAF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0D549A8E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01B9F2FC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55AB6644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2B7F2BCD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48C033EF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10953736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3</w:t>
            </w:r>
          </w:p>
          <w:p w14:paraId="4773CEDC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40D3A942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2</w:t>
            </w:r>
          </w:p>
          <w:p w14:paraId="131132EE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</w:p>
          <w:p w14:paraId="15DB81CC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0</w:t>
            </w:r>
          </w:p>
          <w:p w14:paraId="210F1E77" w14:textId="77777777" w:rsidR="009A39AD" w:rsidRPr="00B61492" w:rsidRDefault="009A39AD" w:rsidP="0059738C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8D47" w14:textId="77777777" w:rsidR="009A39AD" w:rsidRPr="00B61492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B61492">
              <w:rPr>
                <w:rStyle w:val="markedcontent"/>
                <w:rFonts w:ascii="Times New Roman" w:hAnsi="Times New Roman" w:cs="Times New Roman"/>
              </w:rPr>
              <w:t xml:space="preserve">Preferuje się </w:t>
            </w:r>
            <w:proofErr w:type="spellStart"/>
            <w:r w:rsidRPr="00B61492">
              <w:rPr>
                <w:rStyle w:val="markedcontent"/>
                <w:rFonts w:ascii="Times New Roman" w:hAnsi="Times New Roman" w:cs="Times New Roman"/>
              </w:rPr>
              <w:t>grantobiorców</w:t>
            </w:r>
            <w:proofErr w:type="spellEnd"/>
            <w:r w:rsidRPr="00B61492">
              <w:rPr>
                <w:rStyle w:val="markedcontent"/>
                <w:rFonts w:ascii="Times New Roman" w:hAnsi="Times New Roman" w:cs="Times New Roman"/>
              </w:rPr>
              <w:t xml:space="preserve">, którzy we wniosku zaplanowali realizację większej ilości działań skierowanych do lokalnej społeczności. Preferowana jest organizacja różnych rodzajowo lub tematycznie: warsztatów i przedsięwzięć nawiązujących do lokalnych tradycji, dziedzictwa kulturowego, historycznego i przyrodniczego obszaru LGD, organizacja wydarzeń i imprez kulturalnych i sportowych, organizacja przedsięwzięć wykorzystujących lokalne zasoby, szkolenia skierowane do mieszkańców miejscowości i inne. </w:t>
            </w:r>
            <w:proofErr w:type="spellStart"/>
            <w:r w:rsidRPr="00B61492">
              <w:rPr>
                <w:rStyle w:val="markedcontent"/>
                <w:rFonts w:ascii="Times New Roman" w:hAnsi="Times New Roman" w:cs="Times New Roman"/>
              </w:rPr>
              <w:t>Grantobiorca</w:t>
            </w:r>
            <w:proofErr w:type="spellEnd"/>
            <w:r w:rsidRPr="00B61492">
              <w:rPr>
                <w:rStyle w:val="markedcontent"/>
                <w:rFonts w:ascii="Times New Roman" w:hAnsi="Times New Roman" w:cs="Times New Roman"/>
              </w:rPr>
              <w:t xml:space="preserve"> powinien opisać zaplanowane wydarzenia oraz na etapie wniosku o rozliczenie grantu złożyć dokumenty potwierdzające realizację tych działań (listy obecności, fotografie).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B2AA" w14:textId="77777777" w:rsidR="009A39AD" w:rsidRPr="00B61492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9A39AD" w:rsidRPr="00B61492" w14:paraId="445278D9" w14:textId="77777777" w:rsidTr="0059738C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CB9FDD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D906" w14:textId="77777777"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Maksymalna liczba: 26</w:t>
            </w:r>
          </w:p>
        </w:tc>
      </w:tr>
    </w:tbl>
    <w:p w14:paraId="2AF2E31E" w14:textId="77777777" w:rsidR="009A39AD" w:rsidRPr="00B61492" w:rsidRDefault="009A39AD" w:rsidP="009A39AD">
      <w:pPr>
        <w:jc w:val="both"/>
        <w:rPr>
          <w:rFonts w:ascii="Times New Roman" w:hAnsi="Times New Roman" w:cs="Times New Roman"/>
        </w:rPr>
      </w:pPr>
    </w:p>
    <w:p w14:paraId="04A076DA" w14:textId="122E8096" w:rsidR="00B13100" w:rsidRPr="00B13100" w:rsidRDefault="00B13100" w:rsidP="00B13100">
      <w:pPr>
        <w:rPr>
          <w:rFonts w:ascii="Times New Roman" w:hAnsi="Times New Roman" w:cs="Times New Roman"/>
          <w:b/>
        </w:rPr>
      </w:pPr>
      <w:r w:rsidRPr="00B13100">
        <w:rPr>
          <w:rFonts w:ascii="Times New Roman" w:hAnsi="Times New Roman" w:cs="Times New Roman"/>
        </w:rPr>
        <w:t xml:space="preserve">Minimalna liczba punktów, jaką należy uzyskać aby otrzymać dofinansowanie w naborze Nr </w:t>
      </w:r>
      <w:r w:rsidRPr="00B13100">
        <w:rPr>
          <w:rFonts w:ascii="Times New Roman" w:hAnsi="Times New Roman" w:cs="Times New Roman"/>
        </w:rPr>
        <w:t>10</w:t>
      </w:r>
      <w:r w:rsidRPr="00B13100">
        <w:rPr>
          <w:rFonts w:ascii="Times New Roman" w:hAnsi="Times New Roman" w:cs="Times New Roman"/>
        </w:rPr>
        <w:t>/202</w:t>
      </w:r>
      <w:r w:rsidRPr="00B13100">
        <w:rPr>
          <w:rFonts w:ascii="Times New Roman" w:hAnsi="Times New Roman" w:cs="Times New Roman"/>
        </w:rPr>
        <w:t>2</w:t>
      </w:r>
      <w:r w:rsidRPr="00B13100">
        <w:rPr>
          <w:rFonts w:ascii="Times New Roman" w:hAnsi="Times New Roman" w:cs="Times New Roman"/>
        </w:rPr>
        <w:t>/G</w:t>
      </w:r>
      <w:r w:rsidRPr="00B13100">
        <w:rPr>
          <w:rFonts w:ascii="Times New Roman" w:hAnsi="Times New Roman" w:cs="Times New Roman"/>
        </w:rPr>
        <w:t xml:space="preserve"> </w:t>
      </w:r>
      <w:r w:rsidRPr="00B13100">
        <w:rPr>
          <w:rFonts w:ascii="Times New Roman" w:hAnsi="Times New Roman" w:cs="Times New Roman"/>
          <w:b/>
        </w:rPr>
        <w:t>- 13 pkt</w:t>
      </w:r>
    </w:p>
    <w:p w14:paraId="42FFB7E9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</w:p>
    <w:p w14:paraId="673F4075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Uzasadnienie oceny:</w:t>
      </w:r>
    </w:p>
    <w:p w14:paraId="0098A80B" w14:textId="77777777" w:rsidR="009A39AD" w:rsidRPr="006C26A3" w:rsidRDefault="009A39AD" w:rsidP="009A39AD">
      <w:pPr>
        <w:spacing w:line="48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351CF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14:paraId="12166BAA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lastRenderedPageBreak/>
        <w:t xml:space="preserve">................................................................. 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012D0259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36BFBC8A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74B0DA6A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3FB80979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12502F44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</w:t>
      </w:r>
    </w:p>
    <w:p w14:paraId="2932020C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14:paraId="7E853EA1" w14:textId="77777777"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</w:t>
      </w:r>
    </w:p>
    <w:p w14:paraId="58C09023" w14:textId="77777777" w:rsidR="009A39AD" w:rsidRDefault="009A39AD" w:rsidP="009A39AD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6E666D0C" w14:textId="77777777" w:rsidR="009A39AD" w:rsidRDefault="009A39AD" w:rsidP="009A39AD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7A9925A5" w14:textId="77777777" w:rsidR="00DE75DE" w:rsidRPr="009A39AD" w:rsidRDefault="00DE75DE" w:rsidP="009A39AD"/>
    <w:sectPr w:rsidR="00DE75DE" w:rsidRPr="009A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921BA"/>
    <w:multiLevelType w:val="hybridMultilevel"/>
    <w:tmpl w:val="0144F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FE2643"/>
    <w:multiLevelType w:val="hybridMultilevel"/>
    <w:tmpl w:val="134E1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95677"/>
    <w:multiLevelType w:val="hybridMultilevel"/>
    <w:tmpl w:val="569E86FA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A82247"/>
    <w:multiLevelType w:val="hybridMultilevel"/>
    <w:tmpl w:val="FDF44444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291445"/>
    <w:multiLevelType w:val="hybridMultilevel"/>
    <w:tmpl w:val="959E7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2F18C7"/>
    <w:multiLevelType w:val="hybridMultilevel"/>
    <w:tmpl w:val="00784B9E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8667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85805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69503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520856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913473">
    <w:abstractNumId w:val="6"/>
  </w:num>
  <w:num w:numId="6" w16cid:durableId="346637202">
    <w:abstractNumId w:val="0"/>
  </w:num>
  <w:num w:numId="7" w16cid:durableId="1992362358">
    <w:abstractNumId w:val="5"/>
  </w:num>
  <w:num w:numId="8" w16cid:durableId="590044879">
    <w:abstractNumId w:val="11"/>
  </w:num>
  <w:num w:numId="9" w16cid:durableId="1027557891">
    <w:abstractNumId w:val="4"/>
  </w:num>
  <w:num w:numId="10" w16cid:durableId="2119324733">
    <w:abstractNumId w:val="4"/>
  </w:num>
  <w:num w:numId="11" w16cid:durableId="1055279375">
    <w:abstractNumId w:val="7"/>
  </w:num>
  <w:num w:numId="12" w16cid:durableId="423260705">
    <w:abstractNumId w:val="6"/>
  </w:num>
  <w:num w:numId="13" w16cid:durableId="936444648">
    <w:abstractNumId w:val="9"/>
  </w:num>
  <w:num w:numId="14" w16cid:durableId="1431008187">
    <w:abstractNumId w:val="12"/>
  </w:num>
  <w:num w:numId="15" w16cid:durableId="1604149726">
    <w:abstractNumId w:val="0"/>
  </w:num>
  <w:num w:numId="16" w16cid:durableId="1946040319">
    <w:abstractNumId w:val="5"/>
  </w:num>
  <w:num w:numId="17" w16cid:durableId="1131509184">
    <w:abstractNumId w:val="11"/>
  </w:num>
  <w:num w:numId="18" w16cid:durableId="10377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81"/>
    <w:rsid w:val="00016547"/>
    <w:rsid w:val="00257FA6"/>
    <w:rsid w:val="00360A87"/>
    <w:rsid w:val="00586A49"/>
    <w:rsid w:val="005A1576"/>
    <w:rsid w:val="006715F4"/>
    <w:rsid w:val="006E7917"/>
    <w:rsid w:val="006F19B2"/>
    <w:rsid w:val="00782CC4"/>
    <w:rsid w:val="007978D6"/>
    <w:rsid w:val="008B0B89"/>
    <w:rsid w:val="009A39AD"/>
    <w:rsid w:val="00A32BDF"/>
    <w:rsid w:val="00B13100"/>
    <w:rsid w:val="00D21581"/>
    <w:rsid w:val="00DE75DE"/>
    <w:rsid w:val="00E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9395"/>
  <w15:docId w15:val="{1B3A1FFD-12C5-4C59-A105-1550DA7C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A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2022-06-28T11:10:00Z</dcterms:created>
  <dcterms:modified xsi:type="dcterms:W3CDTF">2022-07-19T07:03:00Z</dcterms:modified>
</cp:coreProperties>
</file>